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285C6" w14:textId="77777777" w:rsidR="000404C6" w:rsidRDefault="000404C6" w:rsidP="00681ED4">
      <w:pPr>
        <w:pBdr>
          <w:bottom w:val="single" w:sz="6" w:space="1" w:color="auto"/>
        </w:pBdr>
        <w:jc w:val="center"/>
        <w:rPr>
          <w:smallCaps/>
          <w:sz w:val="36"/>
          <w:szCs w:val="36"/>
        </w:rPr>
      </w:pPr>
      <w:r w:rsidRPr="000404C6">
        <w:rPr>
          <w:smallCaps/>
          <w:sz w:val="36"/>
          <w:szCs w:val="36"/>
        </w:rPr>
        <w:t>Teaching Faculty CV Template</w:t>
      </w:r>
    </w:p>
    <w:p w14:paraId="7763FE40" w14:textId="27E9B5F8" w:rsidR="00681ED4" w:rsidRPr="008D4AC2" w:rsidRDefault="000404C6" w:rsidP="00681ED4">
      <w:pPr>
        <w:pBdr>
          <w:bottom w:val="single" w:sz="6" w:space="1" w:color="auto"/>
        </w:pBdr>
        <w:jc w:val="center"/>
        <w:rPr>
          <w:i/>
          <w:sz w:val="20"/>
          <w:szCs w:val="20"/>
        </w:rPr>
      </w:pPr>
      <w:r w:rsidRPr="000404C6">
        <w:rPr>
          <w:i/>
          <w:sz w:val="20"/>
          <w:szCs w:val="20"/>
        </w:rPr>
        <w:t>Supplemental Guidance</w:t>
      </w:r>
    </w:p>
    <w:p w14:paraId="136568B6" w14:textId="77777777" w:rsidR="001E3C87" w:rsidRDefault="001E3C87" w:rsidP="001E3C87">
      <w:pPr>
        <w:pStyle w:val="NormalWeb"/>
        <w:spacing w:before="0" w:beforeAutospacing="0" w:after="0" w:afterAutospacing="0"/>
        <w:rPr>
          <w:color w:val="000000"/>
        </w:rPr>
      </w:pPr>
    </w:p>
    <w:p w14:paraId="71835349" w14:textId="29934FB4" w:rsidR="001E3C87" w:rsidRPr="001E3C87" w:rsidRDefault="001E3C87" w:rsidP="001E3C87">
      <w:pPr>
        <w:pStyle w:val="NormalWeb"/>
        <w:spacing w:before="0" w:beforeAutospacing="0" w:after="0" w:afterAutospacing="0"/>
      </w:pPr>
      <w:r w:rsidRPr="001E3C87">
        <w:rPr>
          <w:color w:val="000000"/>
        </w:rPr>
        <w:t xml:space="preserve">As members of the promotion and tenure committee, it is essential to recognize that teaching faculty are evaluated differently from tenure-track faculty. The balance between teaching, scholarship, and service can be quite different, as are the activities that demonstrate exemplary scholarship. For example, the typical 40:40:20 expectation for tenure-track faculty may be closer to 80:10:10 for a given teaching faculty/department. Scholarship need not include grants and original research and could include creation or implementation of innovative pedagogical methods or development of new courses. The </w:t>
      </w:r>
      <w:hyperlink r:id="rId8" w:anchor="criteria" w:history="1">
        <w:r w:rsidRPr="001E3C87">
          <w:rPr>
            <w:rStyle w:val="Hyperlink"/>
            <w:color w:val="1155CC"/>
          </w:rPr>
          <w:t>promotion and tenure toolkit</w:t>
        </w:r>
      </w:hyperlink>
      <w:r w:rsidRPr="001E3C87">
        <w:rPr>
          <w:color w:val="000000"/>
        </w:rPr>
        <w:t xml:space="preserve"> for faculty in the UW College of Engineering was updated in 2023 to clarify the scholarship expectation specifically: “The College of Engineering recognizes that research scholarship and teaching scholarship are distinct activities.”</w:t>
      </w:r>
    </w:p>
    <w:p w14:paraId="561EFA20" w14:textId="77777777" w:rsidR="001E3C87" w:rsidRPr="001E3C87" w:rsidRDefault="001E3C87" w:rsidP="001E3C87"/>
    <w:p w14:paraId="7D6E78F6" w14:textId="77777777" w:rsidR="001E3C87" w:rsidRPr="001E3C87" w:rsidRDefault="001E3C87" w:rsidP="001E3C87">
      <w:pPr>
        <w:pStyle w:val="NormalWeb"/>
        <w:spacing w:before="0" w:beforeAutospacing="0" w:after="0" w:afterAutospacing="0"/>
      </w:pPr>
      <w:r w:rsidRPr="001E3C87">
        <w:rPr>
          <w:color w:val="000000"/>
        </w:rPr>
        <w:t>The teaching faculty within the College of Engineering have developed a CV template specific to teaching faculty with the goal of emphasizing the strengths and value of teaching faculty promotion candidates and providing a consistent basis for reviewers to efficiently evaluate their record within the context of the university, college, and department expectations. Key modifications from the original CV template to the teaching-specific version include:</w:t>
      </w:r>
    </w:p>
    <w:p w14:paraId="12235F52" w14:textId="77777777" w:rsidR="001E3C87" w:rsidRPr="001E3C87" w:rsidRDefault="001E3C87" w:rsidP="001E3C87">
      <w:pPr>
        <w:pStyle w:val="NormalWeb"/>
        <w:numPr>
          <w:ilvl w:val="0"/>
          <w:numId w:val="15"/>
        </w:numPr>
        <w:spacing w:before="0" w:beforeAutospacing="0" w:after="0" w:afterAutospacing="0"/>
        <w:textAlignment w:val="baseline"/>
        <w:rPr>
          <w:color w:val="000000"/>
        </w:rPr>
      </w:pPr>
      <w:r w:rsidRPr="001E3C87">
        <w:rPr>
          <w:color w:val="000000"/>
        </w:rPr>
        <w:t>Organization: Rather than beginning with research scholarship and publications, this template begins with sections that speak to the amount and effectiveness of teaching, followed by service, and lastly sections that speak to teaching and research scholarship.</w:t>
      </w:r>
    </w:p>
    <w:p w14:paraId="720C7A45" w14:textId="77777777" w:rsidR="001E3C87" w:rsidRPr="001E3C87" w:rsidRDefault="001E3C87" w:rsidP="001E3C87">
      <w:pPr>
        <w:pStyle w:val="NormalWeb"/>
        <w:numPr>
          <w:ilvl w:val="0"/>
          <w:numId w:val="15"/>
        </w:numPr>
        <w:spacing w:before="0" w:beforeAutospacing="0" w:after="0" w:afterAutospacing="0"/>
        <w:textAlignment w:val="baseline"/>
        <w:rPr>
          <w:color w:val="000000"/>
        </w:rPr>
      </w:pPr>
      <w:r w:rsidRPr="001E3C87">
        <w:rPr>
          <w:color w:val="000000"/>
        </w:rPr>
        <w:t xml:space="preserve">Content: This template added suggested locations and format for categories that could be more relevant to teaching faculty. Importantly, all examples of teaching scholarship cited in the UW Faculty Code </w:t>
      </w:r>
      <w:hyperlink r:id="rId9" w:anchor="2434B" w:history="1">
        <w:r w:rsidRPr="001E3C87">
          <w:rPr>
            <w:rStyle w:val="Hyperlink"/>
            <w:color w:val="1155CC"/>
          </w:rPr>
          <w:t>Section 24-34, B4</w:t>
        </w:r>
      </w:hyperlink>
      <w:r w:rsidRPr="001E3C87">
        <w:rPr>
          <w:color w:val="000000"/>
        </w:rPr>
        <w:t xml:space="preserve"> now have clear sections where they can be highlighted.</w:t>
      </w:r>
    </w:p>
    <w:p w14:paraId="63BB8CB8" w14:textId="77777777" w:rsidR="001E3C87" w:rsidRPr="001E3C87" w:rsidRDefault="001E3C87" w:rsidP="001E3C87">
      <w:pPr>
        <w:pStyle w:val="NormalWeb"/>
        <w:numPr>
          <w:ilvl w:val="0"/>
          <w:numId w:val="15"/>
        </w:numPr>
        <w:spacing w:before="0" w:beforeAutospacing="0" w:after="0" w:afterAutospacing="0"/>
        <w:textAlignment w:val="baseline"/>
        <w:rPr>
          <w:color w:val="000000"/>
        </w:rPr>
      </w:pPr>
      <w:r w:rsidRPr="001E3C87">
        <w:rPr>
          <w:color w:val="000000"/>
        </w:rPr>
        <w:t>Optional sections: While all teaching faculty are expected to demonstrate teaching, service, and scholarship, the faculty code and department guidelines describe many different forms these could take. This CV template is intended to offer a consistent format to describe all the possibilities and is not a list of requirements, so almost all sections are optional and faculty may remove or leave blank sections that do not apply to them. Missing or blank sections on this CV should not be viewed as a deficiency; the strength of the candidate should be a holistic assessment of all their demonstrated impact, relative to the expectations laid out by the faculty code and their department, and the level of support they have received.</w:t>
      </w:r>
    </w:p>
    <w:p w14:paraId="22B8AD60" w14:textId="77777777" w:rsidR="001E3C87" w:rsidRDefault="001E3C87" w:rsidP="00681ED4">
      <w:pPr>
        <w:rPr>
          <w:sz w:val="22"/>
          <w:szCs w:val="22"/>
        </w:rPr>
      </w:pPr>
    </w:p>
    <w:p w14:paraId="6CD39372" w14:textId="77777777" w:rsidR="00681ED4" w:rsidRPr="0044780A" w:rsidRDefault="00681ED4" w:rsidP="00681ED4">
      <w:pPr>
        <w:rPr>
          <w:sz w:val="22"/>
          <w:szCs w:val="22"/>
        </w:rPr>
      </w:pPr>
    </w:p>
    <w:p w14:paraId="47DA9E68" w14:textId="3E0819BF" w:rsidR="00681ED4" w:rsidRPr="002F6698" w:rsidRDefault="00681ED4" w:rsidP="00681ED4">
      <w:pPr>
        <w:rPr>
          <w:i/>
          <w:color w:val="0000FF"/>
          <w:sz w:val="22"/>
          <w:szCs w:val="22"/>
        </w:rPr>
      </w:pPr>
    </w:p>
    <w:sectPr w:rsidR="00681ED4" w:rsidRPr="002F6698" w:rsidSect="00681ED4">
      <w:headerReference w:type="default" r:id="rId10"/>
      <w:footerReference w:type="even" r:id="rId11"/>
      <w:footerReference w:type="default" r:id="rId12"/>
      <w:type w:val="continuous"/>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8CC95" w14:textId="77777777" w:rsidR="00DB1406" w:rsidRDefault="00DB1406">
      <w:r>
        <w:separator/>
      </w:r>
    </w:p>
  </w:endnote>
  <w:endnote w:type="continuationSeparator" w:id="0">
    <w:p w14:paraId="0CB9E646" w14:textId="77777777" w:rsidR="00DB1406" w:rsidRDefault="00DB1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Courier New"/>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2CFED" w14:textId="77777777" w:rsidR="00681ED4" w:rsidRDefault="00681ED4" w:rsidP="00681E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7F7FA1" w14:textId="77777777" w:rsidR="00681ED4" w:rsidRDefault="00681ED4" w:rsidP="00681E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4FC92" w14:textId="77777777" w:rsidR="00681ED4" w:rsidRDefault="00681ED4" w:rsidP="00681ED4">
    <w:pPr>
      <w:pStyle w:val="Footer"/>
      <w:framePr w:wrap="around" w:vAnchor="text" w:hAnchor="margin" w:xAlign="right" w:y="1"/>
      <w:rPr>
        <w:rStyle w:val="PageNumber"/>
      </w:rPr>
    </w:pPr>
    <w:r>
      <w:rPr>
        <w:rStyle w:val="PageNumber"/>
      </w:rPr>
      <w:t xml:space="preserve">  </w:t>
    </w:r>
  </w:p>
  <w:p w14:paraId="55DA3173" w14:textId="77777777" w:rsidR="00681ED4" w:rsidRDefault="00681ED4" w:rsidP="00681E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2C990" w14:textId="77777777" w:rsidR="00DB1406" w:rsidRDefault="00DB1406">
      <w:r>
        <w:separator/>
      </w:r>
    </w:p>
  </w:footnote>
  <w:footnote w:type="continuationSeparator" w:id="0">
    <w:p w14:paraId="6E91E0CD" w14:textId="77777777" w:rsidR="00DB1406" w:rsidRDefault="00DB1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25295" w14:textId="42B88F94" w:rsidR="00681ED4" w:rsidRDefault="00681ED4" w:rsidP="00681ED4">
    <w:pPr>
      <w:pStyle w:val="Header"/>
      <w:ind w:left="-720"/>
      <w:rPr>
        <w:sz w:val="16"/>
        <w:szCs w:val="16"/>
      </w:rPr>
    </w:pPr>
    <w:r>
      <w:rPr>
        <w:sz w:val="16"/>
        <w:szCs w:val="16"/>
      </w:rPr>
      <w:t>Firstname Lastname</w:t>
    </w:r>
  </w:p>
  <w:p w14:paraId="7886D8DF" w14:textId="76B02EE5" w:rsidR="00681ED4" w:rsidRDefault="00681ED4" w:rsidP="00681ED4">
    <w:pPr>
      <w:pStyle w:val="Header"/>
      <w:ind w:left="-720"/>
      <w:rPr>
        <w:sz w:val="16"/>
        <w:szCs w:val="16"/>
      </w:rPr>
    </w:pPr>
    <w:r>
      <w:rPr>
        <w:sz w:val="16"/>
        <w:szCs w:val="16"/>
      </w:rPr>
      <w:t xml:space="preserve">Curriculum Vitae </w:t>
    </w:r>
    <w:r w:rsidR="005C6731">
      <w:rPr>
        <w:sz w:val="16"/>
        <w:szCs w:val="16"/>
      </w:rPr>
      <w:t>(Teaching Track)</w:t>
    </w:r>
  </w:p>
  <w:p w14:paraId="683ACC6F" w14:textId="2257A050" w:rsidR="00681ED4" w:rsidRDefault="00681ED4" w:rsidP="00681ED4">
    <w:pPr>
      <w:pStyle w:val="Header"/>
      <w:ind w:left="-720"/>
      <w:rPr>
        <w:sz w:val="16"/>
        <w:szCs w:val="16"/>
      </w:rPr>
    </w:pPr>
    <w:r>
      <w:rPr>
        <w:sz w:val="16"/>
        <w:szCs w:val="16"/>
      </w:rPr>
      <w:fldChar w:fldCharType="begin"/>
    </w:r>
    <w:r>
      <w:rPr>
        <w:sz w:val="16"/>
        <w:szCs w:val="16"/>
      </w:rPr>
      <w:instrText xml:space="preserve"> SAVEDATE  \@ "M/d/yyyy h:mm am/pm"  \* MERGEFORMAT </w:instrText>
    </w:r>
    <w:r>
      <w:rPr>
        <w:sz w:val="16"/>
        <w:szCs w:val="16"/>
      </w:rPr>
      <w:fldChar w:fldCharType="separate"/>
    </w:r>
    <w:r w:rsidR="000404C6">
      <w:rPr>
        <w:noProof/>
        <w:sz w:val="16"/>
        <w:szCs w:val="16"/>
      </w:rPr>
      <w:t>6/3/2024 12:14 AM</w:t>
    </w:r>
    <w:r>
      <w:rPr>
        <w:sz w:val="16"/>
        <w:szCs w:val="16"/>
      </w:rPr>
      <w:fldChar w:fldCharType="end"/>
    </w:r>
  </w:p>
  <w:p w14:paraId="32C1AE0B" w14:textId="77777777" w:rsidR="00681ED4" w:rsidRPr="00476B07" w:rsidRDefault="00681ED4" w:rsidP="00681ED4">
    <w:pPr>
      <w:pStyle w:val="Header"/>
      <w:ind w:left="-72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37C97"/>
    <w:multiLevelType w:val="hybridMultilevel"/>
    <w:tmpl w:val="4754D56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06C90140"/>
    <w:multiLevelType w:val="hybridMultilevel"/>
    <w:tmpl w:val="4754D5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7BD759E"/>
    <w:multiLevelType w:val="hybridMultilevel"/>
    <w:tmpl w:val="1B74B3DC"/>
    <w:lvl w:ilvl="0" w:tplc="21A8858A">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8506DD"/>
    <w:multiLevelType w:val="hybridMultilevel"/>
    <w:tmpl w:val="49DA9AD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21A60C5C"/>
    <w:multiLevelType w:val="hybridMultilevel"/>
    <w:tmpl w:val="A0D493D4"/>
    <w:lvl w:ilvl="0" w:tplc="21A8858A">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933838"/>
    <w:multiLevelType w:val="hybridMultilevel"/>
    <w:tmpl w:val="06B4955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467003F"/>
    <w:multiLevelType w:val="hybridMultilevel"/>
    <w:tmpl w:val="3FB20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7E35E0"/>
    <w:multiLevelType w:val="hybridMultilevel"/>
    <w:tmpl w:val="3E8AA306"/>
    <w:lvl w:ilvl="0" w:tplc="21A8858A">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1E28DD"/>
    <w:multiLevelType w:val="hybridMultilevel"/>
    <w:tmpl w:val="BC943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031C21"/>
    <w:multiLevelType w:val="hybridMultilevel"/>
    <w:tmpl w:val="CDDE6F0A"/>
    <w:lvl w:ilvl="0" w:tplc="21A8858A">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7B77F1"/>
    <w:multiLevelType w:val="multilevel"/>
    <w:tmpl w:val="49DA9AD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77204DC8"/>
    <w:multiLevelType w:val="hybridMultilevel"/>
    <w:tmpl w:val="49DA9A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788C5355"/>
    <w:multiLevelType w:val="hybridMultilevel"/>
    <w:tmpl w:val="3E9A2616"/>
    <w:lvl w:ilvl="0" w:tplc="21A8858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260"/>
        </w:tabs>
        <w:ind w:left="1260" w:hanging="360"/>
      </w:pPr>
      <w:rPr>
        <w:rFonts w:ascii="Courier New" w:hAnsi="Courier New" w:cs="Wingdings"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Wingdings"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Wingdings"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3" w15:restartNumberingAfterBreak="0">
    <w:nsid w:val="7AA432E3"/>
    <w:multiLevelType w:val="multilevel"/>
    <w:tmpl w:val="E34C6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CB5C12"/>
    <w:multiLevelType w:val="hybridMultilevel"/>
    <w:tmpl w:val="E87EE022"/>
    <w:lvl w:ilvl="0" w:tplc="21A8858A">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78233067">
    <w:abstractNumId w:val="12"/>
  </w:num>
  <w:num w:numId="2" w16cid:durableId="1906406727">
    <w:abstractNumId w:val="14"/>
  </w:num>
  <w:num w:numId="3" w16cid:durableId="1876654773">
    <w:abstractNumId w:val="2"/>
  </w:num>
  <w:num w:numId="4" w16cid:durableId="597176366">
    <w:abstractNumId w:val="9"/>
  </w:num>
  <w:num w:numId="5" w16cid:durableId="759643144">
    <w:abstractNumId w:val="7"/>
  </w:num>
  <w:num w:numId="6" w16cid:durableId="368841091">
    <w:abstractNumId w:val="4"/>
  </w:num>
  <w:num w:numId="7" w16cid:durableId="1574390452">
    <w:abstractNumId w:val="11"/>
  </w:num>
  <w:num w:numId="8" w16cid:durableId="1047800559">
    <w:abstractNumId w:val="1"/>
  </w:num>
  <w:num w:numId="9" w16cid:durableId="1228492654">
    <w:abstractNumId w:val="10"/>
  </w:num>
  <w:num w:numId="10" w16cid:durableId="1689790084">
    <w:abstractNumId w:val="5"/>
  </w:num>
  <w:num w:numId="11" w16cid:durableId="1751805282">
    <w:abstractNumId w:val="6"/>
  </w:num>
  <w:num w:numId="12" w16cid:durableId="2038308917">
    <w:abstractNumId w:val="8"/>
  </w:num>
  <w:num w:numId="13" w16cid:durableId="1823620587">
    <w:abstractNumId w:val="3"/>
  </w:num>
  <w:num w:numId="14" w16cid:durableId="14381622">
    <w:abstractNumId w:val="0"/>
  </w:num>
  <w:num w:numId="15" w16cid:durableId="2748677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B66"/>
    <w:rsid w:val="000404C6"/>
    <w:rsid w:val="00043886"/>
    <w:rsid w:val="00071798"/>
    <w:rsid w:val="0007602E"/>
    <w:rsid w:val="00080A09"/>
    <w:rsid w:val="000842CC"/>
    <w:rsid w:val="000C1D8A"/>
    <w:rsid w:val="00120ECA"/>
    <w:rsid w:val="00122788"/>
    <w:rsid w:val="00171CA0"/>
    <w:rsid w:val="00193029"/>
    <w:rsid w:val="001B0FE5"/>
    <w:rsid w:val="001B2C60"/>
    <w:rsid w:val="001C1297"/>
    <w:rsid w:val="001E3914"/>
    <w:rsid w:val="001E3C87"/>
    <w:rsid w:val="001E7906"/>
    <w:rsid w:val="002015B5"/>
    <w:rsid w:val="0022509B"/>
    <w:rsid w:val="00226AE5"/>
    <w:rsid w:val="00261A69"/>
    <w:rsid w:val="002621ED"/>
    <w:rsid w:val="002B065D"/>
    <w:rsid w:val="002C1B66"/>
    <w:rsid w:val="002C2345"/>
    <w:rsid w:val="002D4476"/>
    <w:rsid w:val="00352534"/>
    <w:rsid w:val="00355141"/>
    <w:rsid w:val="0036321C"/>
    <w:rsid w:val="003B4F0A"/>
    <w:rsid w:val="003C4FD8"/>
    <w:rsid w:val="00406725"/>
    <w:rsid w:val="004125A4"/>
    <w:rsid w:val="00444173"/>
    <w:rsid w:val="00470588"/>
    <w:rsid w:val="004A7AAB"/>
    <w:rsid w:val="004C2FDF"/>
    <w:rsid w:val="004F3B22"/>
    <w:rsid w:val="00525292"/>
    <w:rsid w:val="00532522"/>
    <w:rsid w:val="005818FF"/>
    <w:rsid w:val="005B6B27"/>
    <w:rsid w:val="005C6731"/>
    <w:rsid w:val="005D428C"/>
    <w:rsid w:val="00626B3F"/>
    <w:rsid w:val="00631C8F"/>
    <w:rsid w:val="00642196"/>
    <w:rsid w:val="006731CE"/>
    <w:rsid w:val="00681ED4"/>
    <w:rsid w:val="006F14AD"/>
    <w:rsid w:val="00737CEA"/>
    <w:rsid w:val="00743A99"/>
    <w:rsid w:val="00747B58"/>
    <w:rsid w:val="0078450C"/>
    <w:rsid w:val="00786639"/>
    <w:rsid w:val="007C55B2"/>
    <w:rsid w:val="007D3922"/>
    <w:rsid w:val="0080378E"/>
    <w:rsid w:val="00807356"/>
    <w:rsid w:val="00807779"/>
    <w:rsid w:val="0082449A"/>
    <w:rsid w:val="008526B3"/>
    <w:rsid w:val="008625D5"/>
    <w:rsid w:val="00872EEA"/>
    <w:rsid w:val="008853B2"/>
    <w:rsid w:val="008A1244"/>
    <w:rsid w:val="00911095"/>
    <w:rsid w:val="009150A2"/>
    <w:rsid w:val="009162B8"/>
    <w:rsid w:val="00922C36"/>
    <w:rsid w:val="009369CB"/>
    <w:rsid w:val="0094028A"/>
    <w:rsid w:val="00941E6F"/>
    <w:rsid w:val="009616B5"/>
    <w:rsid w:val="00964AFD"/>
    <w:rsid w:val="0096736E"/>
    <w:rsid w:val="00974BAD"/>
    <w:rsid w:val="0097602E"/>
    <w:rsid w:val="0099777B"/>
    <w:rsid w:val="009C2A67"/>
    <w:rsid w:val="009E7A87"/>
    <w:rsid w:val="00A02BA4"/>
    <w:rsid w:val="00A445C4"/>
    <w:rsid w:val="00A468CB"/>
    <w:rsid w:val="00A5454B"/>
    <w:rsid w:val="00A61F74"/>
    <w:rsid w:val="00A677CA"/>
    <w:rsid w:val="00AA1441"/>
    <w:rsid w:val="00AB0E2D"/>
    <w:rsid w:val="00AF6B5F"/>
    <w:rsid w:val="00B327DE"/>
    <w:rsid w:val="00C12EC5"/>
    <w:rsid w:val="00C37502"/>
    <w:rsid w:val="00C76729"/>
    <w:rsid w:val="00CA441F"/>
    <w:rsid w:val="00CB1F43"/>
    <w:rsid w:val="00D52C11"/>
    <w:rsid w:val="00D678F0"/>
    <w:rsid w:val="00D7206F"/>
    <w:rsid w:val="00D9004C"/>
    <w:rsid w:val="00DB1406"/>
    <w:rsid w:val="00DE11A1"/>
    <w:rsid w:val="00E04BAF"/>
    <w:rsid w:val="00E25879"/>
    <w:rsid w:val="00E31205"/>
    <w:rsid w:val="00E41221"/>
    <w:rsid w:val="00EA22C1"/>
    <w:rsid w:val="00F0023D"/>
    <w:rsid w:val="00F05D62"/>
    <w:rsid w:val="00F25100"/>
    <w:rsid w:val="00F536FA"/>
    <w:rsid w:val="00F616DC"/>
    <w:rsid w:val="00F66476"/>
    <w:rsid w:val="00FB0B4A"/>
    <w:rsid w:val="00FB3A08"/>
    <w:rsid w:val="00FB73EC"/>
    <w:rsid w:val="00FD3DB2"/>
    <w:rsid w:val="00FD494E"/>
    <w:rsid w:val="0D20B7A7"/>
    <w:rsid w:val="2BC82381"/>
    <w:rsid w:val="2EEF121D"/>
    <w:rsid w:val="5B7A1415"/>
    <w:rsid w:val="7658C042"/>
    <w:rsid w:val="78AABC5F"/>
    <w:rsid w:val="7AB39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D600AC"/>
  <w15:chartTrackingRefBased/>
  <w15:docId w15:val="{5F60D0F6-4811-BB4E-B031-6A4799F2A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C1B66"/>
    <w:pPr>
      <w:spacing w:before="100" w:beforeAutospacing="1" w:after="100" w:afterAutospacing="1"/>
    </w:pPr>
  </w:style>
  <w:style w:type="paragraph" w:styleId="Header">
    <w:name w:val="header"/>
    <w:basedOn w:val="Normal"/>
    <w:rsid w:val="00476B07"/>
    <w:pPr>
      <w:tabs>
        <w:tab w:val="center" w:pos="4320"/>
        <w:tab w:val="right" w:pos="8640"/>
      </w:tabs>
    </w:pPr>
  </w:style>
  <w:style w:type="paragraph" w:styleId="Footer">
    <w:name w:val="footer"/>
    <w:basedOn w:val="Normal"/>
    <w:rsid w:val="00476B07"/>
    <w:pPr>
      <w:tabs>
        <w:tab w:val="center" w:pos="4320"/>
        <w:tab w:val="right" w:pos="8640"/>
      </w:tabs>
    </w:pPr>
  </w:style>
  <w:style w:type="character" w:styleId="Emphasis">
    <w:name w:val="Emphasis"/>
    <w:basedOn w:val="DefaultParagraphFont"/>
    <w:qFormat/>
    <w:rsid w:val="009B1E1E"/>
    <w:rPr>
      <w:i/>
      <w:iCs/>
    </w:rPr>
  </w:style>
  <w:style w:type="table" w:styleId="TableGrid">
    <w:name w:val="Table Grid"/>
    <w:basedOn w:val="TableNormal"/>
    <w:rsid w:val="008D4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F672B"/>
    <w:rPr>
      <w:rFonts w:ascii="Lucida Grande" w:hAnsi="Lucida Grande"/>
      <w:sz w:val="18"/>
      <w:szCs w:val="18"/>
    </w:rPr>
  </w:style>
  <w:style w:type="character" w:styleId="PageNumber">
    <w:name w:val="page number"/>
    <w:basedOn w:val="DefaultParagraphFont"/>
    <w:rsid w:val="001F3B0A"/>
  </w:style>
  <w:style w:type="character" w:styleId="Hyperlink">
    <w:name w:val="Hyperlink"/>
    <w:basedOn w:val="DefaultParagraphFont"/>
    <w:uiPriority w:val="99"/>
    <w:unhideWhenUsed/>
    <w:rsid w:val="00DC18C6"/>
    <w:rPr>
      <w:color w:val="0000FF"/>
      <w:u w:val="single"/>
    </w:rPr>
  </w:style>
  <w:style w:type="character" w:customStyle="1" w:styleId="apple-style-span">
    <w:name w:val="apple-style-span"/>
    <w:basedOn w:val="DefaultParagraphFont"/>
    <w:rsid w:val="006D3E75"/>
  </w:style>
  <w:style w:type="character" w:styleId="FollowedHyperlink">
    <w:name w:val="FollowedHyperlink"/>
    <w:basedOn w:val="DefaultParagraphFont"/>
    <w:rsid w:val="001B2C60"/>
    <w:rPr>
      <w:color w:val="800080"/>
      <w:u w:val="single"/>
    </w:rPr>
  </w:style>
  <w:style w:type="paragraph" w:styleId="FootnoteText">
    <w:name w:val="footnote text"/>
    <w:basedOn w:val="Normal"/>
    <w:link w:val="FootnoteTextChar"/>
    <w:rsid w:val="005D428C"/>
    <w:rPr>
      <w:sz w:val="20"/>
      <w:szCs w:val="20"/>
    </w:rPr>
  </w:style>
  <w:style w:type="character" w:customStyle="1" w:styleId="FootnoteTextChar">
    <w:name w:val="Footnote Text Char"/>
    <w:basedOn w:val="DefaultParagraphFont"/>
    <w:link w:val="FootnoteText"/>
    <w:rsid w:val="005D428C"/>
  </w:style>
  <w:style w:type="character" w:styleId="FootnoteReference">
    <w:name w:val="footnote reference"/>
    <w:basedOn w:val="DefaultParagraphFont"/>
    <w:rsid w:val="005D428C"/>
    <w:rPr>
      <w:vertAlign w:val="superscript"/>
    </w:rPr>
  </w:style>
  <w:style w:type="paragraph" w:styleId="ListParagraph">
    <w:name w:val="List Paragraph"/>
    <w:basedOn w:val="Normal"/>
    <w:uiPriority w:val="34"/>
    <w:qFormat/>
    <w:rsid w:val="00F0023D"/>
    <w:pPr>
      <w:ind w:left="720"/>
      <w:contextualSpacing/>
    </w:pPr>
  </w:style>
  <w:style w:type="paragraph" w:styleId="Revision">
    <w:name w:val="Revision"/>
    <w:hidden/>
    <w:uiPriority w:val="99"/>
    <w:semiHidden/>
    <w:rsid w:val="005C6731"/>
    <w:rPr>
      <w:sz w:val="24"/>
      <w:szCs w:val="24"/>
    </w:rPr>
  </w:style>
  <w:style w:type="character" w:styleId="CommentReference">
    <w:name w:val="annotation reference"/>
    <w:basedOn w:val="DefaultParagraphFont"/>
    <w:rsid w:val="001E3914"/>
    <w:rPr>
      <w:sz w:val="16"/>
      <w:szCs w:val="16"/>
    </w:rPr>
  </w:style>
  <w:style w:type="paragraph" w:styleId="CommentText">
    <w:name w:val="annotation text"/>
    <w:basedOn w:val="Normal"/>
    <w:link w:val="CommentTextChar"/>
    <w:rsid w:val="001E3914"/>
    <w:rPr>
      <w:sz w:val="20"/>
      <w:szCs w:val="20"/>
    </w:rPr>
  </w:style>
  <w:style w:type="character" w:customStyle="1" w:styleId="CommentTextChar">
    <w:name w:val="Comment Text Char"/>
    <w:basedOn w:val="DefaultParagraphFont"/>
    <w:link w:val="CommentText"/>
    <w:rsid w:val="001E3914"/>
  </w:style>
  <w:style w:type="paragraph" w:styleId="CommentSubject">
    <w:name w:val="annotation subject"/>
    <w:basedOn w:val="CommentText"/>
    <w:next w:val="CommentText"/>
    <w:link w:val="CommentSubjectChar"/>
    <w:rsid w:val="0094028A"/>
    <w:rPr>
      <w:b/>
      <w:bCs/>
    </w:rPr>
  </w:style>
  <w:style w:type="character" w:customStyle="1" w:styleId="CommentSubjectChar">
    <w:name w:val="Comment Subject Char"/>
    <w:basedOn w:val="CommentTextChar"/>
    <w:link w:val="CommentSubject"/>
    <w:rsid w:val="009402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228952">
      <w:bodyDiv w:val="1"/>
      <w:marLeft w:val="0"/>
      <w:marRight w:val="0"/>
      <w:marTop w:val="0"/>
      <w:marBottom w:val="0"/>
      <w:divBdr>
        <w:top w:val="none" w:sz="0" w:space="0" w:color="auto"/>
        <w:left w:val="none" w:sz="0" w:space="0" w:color="auto"/>
        <w:bottom w:val="none" w:sz="0" w:space="0" w:color="auto"/>
        <w:right w:val="none" w:sz="0" w:space="0" w:color="auto"/>
      </w:divBdr>
    </w:div>
    <w:div w:id="1422677809">
      <w:bodyDiv w:val="1"/>
      <w:marLeft w:val="0"/>
      <w:marRight w:val="0"/>
      <w:marTop w:val="0"/>
      <w:marBottom w:val="0"/>
      <w:divBdr>
        <w:top w:val="none" w:sz="0" w:space="0" w:color="auto"/>
        <w:left w:val="none" w:sz="0" w:space="0" w:color="auto"/>
        <w:bottom w:val="none" w:sz="0" w:space="0" w:color="auto"/>
        <w:right w:val="none" w:sz="0" w:space="0" w:color="auto"/>
      </w:divBdr>
    </w:div>
    <w:div w:id="1474833500">
      <w:bodyDiv w:val="1"/>
      <w:marLeft w:val="0"/>
      <w:marRight w:val="0"/>
      <w:marTop w:val="0"/>
      <w:marBottom w:val="0"/>
      <w:divBdr>
        <w:top w:val="none" w:sz="0" w:space="0" w:color="auto"/>
        <w:left w:val="none" w:sz="0" w:space="0" w:color="auto"/>
        <w:bottom w:val="none" w:sz="0" w:space="0" w:color="auto"/>
        <w:right w:val="none" w:sz="0" w:space="0" w:color="auto"/>
      </w:divBdr>
    </w:div>
    <w:div w:id="213903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gr.washington.edu/mycoe/hr/academic-personnel/facpromotion/pt-toolk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ashington.edu/admin/rules/policies/FCG/FCCH24.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1F0C5-B41B-43CF-B18B-FFCD6B0A1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426</Words>
  <Characters>2429</Characters>
  <Application>Microsoft Office Word</Application>
  <DocSecurity>0</DocSecurity>
  <Lines>20</Lines>
  <Paragraphs>5</Paragraphs>
  <ScaleCrop>false</ScaleCrop>
  <Company>University of Washington</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NAME</dc:title>
  <dc:subject/>
  <dc:creator>John A. Hughes</dc:creator>
  <cp:keywords/>
  <cp:lastModifiedBy>Eli Patten</cp:lastModifiedBy>
  <cp:revision>84</cp:revision>
  <cp:lastPrinted>2011-05-03T22:53:00Z</cp:lastPrinted>
  <dcterms:created xsi:type="dcterms:W3CDTF">2021-04-28T16:23:00Z</dcterms:created>
  <dcterms:modified xsi:type="dcterms:W3CDTF">2024-06-03T04:18:00Z</dcterms:modified>
</cp:coreProperties>
</file>